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CADC" w:rsidR="0061148E" w:rsidRPr="000C582F" w:rsidRDefault="003E6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A89D" w:rsidR="0061148E" w:rsidRPr="000C582F" w:rsidRDefault="003E6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00284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5ADAC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54246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DC65D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1EDB5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59910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0127FB" w:rsidR="00B87ED3" w:rsidRPr="000C582F" w:rsidRDefault="003E6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26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7FD6E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0C7C8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EDA65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5D9A8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D74CA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A5ED4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B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F53F" w:rsidR="00B87ED3" w:rsidRPr="000C582F" w:rsidRDefault="003E62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D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1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F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4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4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6920B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C7E76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37A49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21A20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0683D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C7997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4A62C" w:rsidR="00B87ED3" w:rsidRPr="000C582F" w:rsidRDefault="003E6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6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7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5321C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FA7A1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63BCE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22BBB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BD14B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5FBE6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CB366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0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44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91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B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4955B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A8EBB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91C1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A450A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51E04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D615E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88BE5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3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F2BBF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C0044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63B16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91C72" w:rsidR="00B87ED3" w:rsidRPr="000C582F" w:rsidRDefault="003E6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89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C1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F7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5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5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26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2022-10-12T23:30:00.0000000Z</dcterms:modified>
</coreProperties>
</file>