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CDC2" w:rsidR="0061148E" w:rsidRPr="00C61931" w:rsidRDefault="00716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87A1" w:rsidR="0061148E" w:rsidRPr="00C61931" w:rsidRDefault="00716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53E4D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5A01B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EEDD2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9D6A4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9CB95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F7EA2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EED67" w:rsidR="00B87ED3" w:rsidRPr="00944D28" w:rsidRDefault="0071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A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A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D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A793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DCF6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8D873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8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414CD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0107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F669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2048B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5F165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70AE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C6834" w:rsidR="00B87ED3" w:rsidRPr="00944D28" w:rsidRDefault="0071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4559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7E567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84BB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575C4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477A2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0AA3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75CC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F06B8" w:rsidR="00B87ED3" w:rsidRPr="00944D28" w:rsidRDefault="0071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E4945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B01F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FAD9E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EC06C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1F637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4A7E6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F7D1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DD12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AF312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12BA6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FB81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8538D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E831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F3D59" w:rsidR="00B87ED3" w:rsidRPr="00944D28" w:rsidRDefault="0071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4C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